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C2410C"/>
          <w:sz w:val="22"/>
          <w:szCs w:val="22"/>
        </w:rPr>
        <w:t xml:space="preserve">LOCKOUT / TAGOUT</w:t>
      </w:r>
    </w:p>
    <w:p>
      <w:pPr>
        <w:spacing w:after="120"/>
      </w:pPr>
      <w:r>
        <w:rPr>
          <w:b/>
          <w:bCs/>
          <w:color w:val="1F2937"/>
          <w:sz w:val="40"/>
          <w:szCs w:val="40"/>
        </w:rPr>
        <w:t xml:space="preserve">Machine-Specific Energy Control Procedure Pack</w:t>
      </w:r>
    </w:p>
    <w:p>
      <w:pPr>
        <w:spacing w:after="120"/>
      </w:pPr>
      <w:r>
        <w:rPr>
          <w:sz w:val="21"/>
          <w:szCs w:val="21"/>
        </w:rPr>
        <w:t xml:space="preserve">Free template pack: a fill-in procedure, a worked example, an energy-source checklist and a periodic inspection record.</w:t>
      </w:r>
    </w:p>
    <w:p>
      <w:pPr>
        <w:pStyle w:val="Heading2"/>
        <w:spacing w:after="100" w:before="200"/>
      </w:pPr>
      <w:r>
        <w:rPr>
          <w:b/>
          <w:bCs/>
          <w:color w:val="C2410C"/>
          <w:sz w:val="25"/>
          <w:szCs w:val="25"/>
        </w:rPr>
        <w:t xml:space="preserve">What's inside</w:t>
      </w:r>
    </w:p>
    <w:p>
      <w:pPr>
        <w:pStyle w:val="ListParagraph"/>
        <w:numPr>
          <w:ilvl w:val="0"/>
          <w:numId w:val="2"/>
        </w:numPr>
        <w:spacing w:after="60"/>
      </w:pPr>
      <w:r>
        <w:rPr>
          <w:sz w:val="21"/>
          <w:szCs w:val="21"/>
        </w:rPr>
        <w:t xml:space="preserve">Part 1 — Blank machine-specific procedure template (one per machine)</w:t>
      </w:r>
    </w:p>
    <w:p>
      <w:pPr>
        <w:pStyle w:val="ListParagraph"/>
        <w:numPr>
          <w:ilvl w:val="0"/>
          <w:numId w:val="2"/>
        </w:numPr>
        <w:spacing w:after="60"/>
      </w:pPr>
      <w:r>
        <w:rPr>
          <w:sz w:val="21"/>
          <w:szCs w:val="21"/>
        </w:rPr>
        <w:t xml:space="preserve">Part 2 — Worked example: belt conveyor with VFD, pneumatic diverter and gravity take-up</w:t>
      </w:r>
    </w:p>
    <w:p>
      <w:pPr>
        <w:pStyle w:val="ListParagraph"/>
        <w:numPr>
          <w:ilvl w:val="0"/>
          <w:numId w:val="2"/>
        </w:numPr>
        <w:spacing w:after="60"/>
      </w:pPr>
      <w:r>
        <w:rPr>
          <w:sz w:val="21"/>
          <w:szCs w:val="21"/>
        </w:rPr>
        <w:t xml:space="preserve">Part 3 — Energy-source identification checklist (use before you write the procedure)</w:t>
      </w:r>
    </w:p>
    <w:p>
      <w:pPr>
        <w:pStyle w:val="ListParagraph"/>
        <w:numPr>
          <w:ilvl w:val="0"/>
          <w:numId w:val="2"/>
        </w:numPr>
        <w:spacing w:after="60"/>
      </w:pPr>
      <w:r>
        <w:rPr>
          <w:sz w:val="21"/>
          <w:szCs w:val="21"/>
        </w:rPr>
        <w:t xml:space="preserve">Part 4 — Periodic (annual) procedure inspection record</w:t>
      </w:r>
    </w:p>
    <w:p>
      <w:pPr>
        <w:pStyle w:val="Heading2"/>
        <w:spacing w:after="100" w:before="200"/>
      </w:pPr>
      <w:r>
        <w:rPr>
          <w:b/>
          <w:bCs/>
          <w:color w:val="C2410C"/>
          <w:sz w:val="25"/>
          <w:szCs w:val="25"/>
        </w:rPr>
        <w:t xml:space="preserve">Why machine-specific procedures matter</w:t>
      </w:r>
    </w:p>
    <w:p>
      <w:pPr>
        <w:spacing w:after="120"/>
      </w:pPr>
      <w:r>
        <w:rPr>
          <w:sz w:val="21"/>
          <w:szCs w:val="21"/>
        </w:rPr>
        <w:t xml:space="preserve">In the US, OSHA 29 CFR 1910.147(c)(4) requires documented energy control procedures that clearly and specifically outline the scope, purpose, authorization, rules and techniques for controlling hazardous energy. The procedure must cover shutdown, isolation, blocking and securing; placement, removal and transfer of lockout devices; and testing to verify that the lockout is effective. Missing machine-specific procedures are among OSHA's most frequently cited lockout failings.</w:t>
      </w:r>
    </w:p>
    <w:p>
      <w:pPr>
        <w:spacing w:after="120"/>
      </w:pPr>
      <w:r>
        <w:rPr>
          <w:sz w:val="21"/>
          <w:szCs w:val="21"/>
        </w:rPr>
        <w:t xml:space="preserve">In the UK, PUWER regulation 19 requires means of isolating work equipment from all energy sources, and HSE guidance HSG253 (The safe isolation of plant and equipment) describes how to plan and document safe isolation.</w:t>
      </w:r>
    </w:p>
    <w:p>
      <w:pPr>
        <w:pStyle w:val="Heading2"/>
        <w:spacing w:after="100" w:before="200"/>
      </w:pPr>
      <w:r>
        <w:rPr>
          <w:b/>
          <w:bCs/>
          <w:color w:val="C2410C"/>
          <w:sz w:val="25"/>
          <w:szCs w:val="25"/>
        </w:rPr>
        <w:t xml:space="preserve">How to use it</w:t>
      </w:r>
    </w:p>
    <w:p>
      <w:pPr>
        <w:pStyle w:val="ListParagraph"/>
        <w:numPr>
          <w:ilvl w:val="0"/>
          <w:numId w:val="3"/>
        </w:numPr>
        <w:spacing w:after="80"/>
      </w:pPr>
      <w:r>
        <w:rPr>
          <w:sz w:val="21"/>
          <w:szCs w:val="21"/>
        </w:rPr>
        <w:t xml:space="preserve">Walk the machine with the Part 3 checklist. List every energy source, including stored and gravitational energy.</w:t>
      </w:r>
    </w:p>
    <w:p>
      <w:pPr>
        <w:pStyle w:val="ListParagraph"/>
        <w:numPr>
          <w:ilvl w:val="0"/>
          <w:numId w:val="3"/>
        </w:numPr>
        <w:spacing w:after="80"/>
      </w:pPr>
      <w:r>
        <w:rPr>
          <w:sz w:val="21"/>
          <w:szCs w:val="21"/>
        </w:rPr>
        <w:t xml:space="preserve">Copy Part 1 and fill in one procedure per machine. Photograph each isolation point and add the photos.</w:t>
      </w:r>
    </w:p>
    <w:p>
      <w:pPr>
        <w:pStyle w:val="ListParagraph"/>
        <w:numPr>
          <w:ilvl w:val="0"/>
          <w:numId w:val="3"/>
        </w:numPr>
        <w:spacing w:after="80"/>
      </w:pPr>
      <w:r>
        <w:rPr>
          <w:sz w:val="21"/>
          <w:szCs w:val="21"/>
        </w:rPr>
        <w:t xml:space="preserve">Have an authorised person perform the procedure on the machine and confirm every step works, especially verification.</w:t>
      </w:r>
    </w:p>
    <w:p>
      <w:pPr>
        <w:pStyle w:val="ListParagraph"/>
        <w:numPr>
          <w:ilvl w:val="0"/>
          <w:numId w:val="3"/>
        </w:numPr>
        <w:spacing w:after="80"/>
      </w:pPr>
      <w:r>
        <w:rPr>
          <w:sz w:val="21"/>
          <w:szCs w:val="21"/>
        </w:rPr>
        <w:t xml:space="preserve">Post a one-page summary at the machine and keep the full procedure where authorised employees can reach it.</w:t>
      </w:r>
    </w:p>
    <w:p>
      <w:pPr>
        <w:pStyle w:val="ListParagraph"/>
        <w:numPr>
          <w:ilvl w:val="0"/>
          <w:numId w:val="3"/>
        </w:numPr>
        <w:spacing w:after="80"/>
      </w:pPr>
      <w:r>
        <w:rPr>
          <w:sz w:val="21"/>
          <w:szCs w:val="21"/>
        </w:rPr>
        <w:t xml:space="preserve">Inspect each procedure at least annually and record it on Part 4.</w:t>
      </w:r>
    </w:p>
    <w:p>
      <w:pPr>
        <w:pBdr>
          <w:left w:val="single" w:color="C2410C" w:sz="24" w:space="8"/>
        </w:pBdr>
        <w:shd w:fill="FFF7ED" w:color="auto" w:val="clear"/>
        <w:spacing w:after="160" w:before="120"/>
      </w:pPr>
      <w:r>
        <w:rPr>
          <w:sz w:val="20"/>
          <w:szCs w:val="20"/>
        </w:rPr>
        <w:t xml:space="preserve">Important: this is a drafting template, not a substitute for competent judgement. The employer is responsible for the procedure's accuracy. Every procedure must be verified on the actual machine by a competent, authorised person before use, and reviewed whenever the machine is modified.</w:t>
      </w:r>
    </w:p>
    <w:p>
      <w:r>
        <w:br w:type="page"/>
      </w:r>
    </w:p>
    <w:p>
      <w:pPr>
        <w:pStyle w:val="Heading1"/>
        <w:spacing w:after="160" w:before="240"/>
      </w:pPr>
      <w:r>
        <w:rPr>
          <w:b/>
          <w:bCs/>
          <w:color w:val="1F2937"/>
          <w:sz w:val="32"/>
          <w:szCs w:val="32"/>
        </w:rPr>
        <w:t xml:space="preserve">Part 1 — Energy Control Procedure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Equipment name</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Equipment ID / asset no.</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Location</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Procedure no. / revision</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Prepared by / date</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Approved by / date</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Next review due</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bl>
    <w:p>
      <w:pPr>
        <w:pStyle w:val="Heading2"/>
        <w:spacing w:after="100" w:before="200"/>
      </w:pPr>
      <w:r>
        <w:rPr>
          <w:b/>
          <w:bCs/>
          <w:color w:val="C2410C"/>
          <w:sz w:val="25"/>
          <w:szCs w:val="25"/>
        </w:rPr>
        <w:t xml:space="preserve">Purpose and scope</w:t>
      </w:r>
    </w:p>
    <w:p>
      <w:pPr>
        <w:spacing w:after="120"/>
      </w:pPr>
      <w:r>
        <w:rPr>
          <w:sz w:val="21"/>
          <w:szCs w:val="21"/>
        </w:rPr>
        <w:t xml:space="preserve">This procedure establishes the minimum requirements for the lockout of energy isolating devices on the equipment above whenever maintenance or servicing is done. It must be used to ensure the equipment is stopped, isolated from all hazardous energy sources, and locked out before any employee performs servicing or maintenance where unexpected energisation, start-up or release of stored energy could cause injury.</w:t>
      </w:r>
    </w:p>
    <w:p>
      <w:pPr>
        <w:pStyle w:val="Heading2"/>
        <w:spacing w:after="100" w:before="200"/>
      </w:pPr>
      <w:r>
        <w:rPr>
          <w:b/>
          <w:bCs/>
          <w:color w:val="C2410C"/>
          <w:sz w:val="25"/>
          <w:szCs w:val="25"/>
        </w:rPr>
        <w:t xml:space="preserve">Energy 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1200"/>
        <w:gridCol w:w="1160"/>
        <w:gridCol w:w="1840"/>
        <w:gridCol w:w="1150"/>
        <w:gridCol w:w="1650"/>
        <w:gridCol w:w="1800"/>
      </w:tblGrid>
      <w:tr>
        <w:tc>
          <w:tcPr>
            <w:tcW w:type="dxa" w:w="5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w:t>
            </w:r>
          </w:p>
        </w:tc>
        <w:tc>
          <w:tcPr>
            <w:tcW w:type="dxa" w:w="12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Energy type</w:t>
            </w:r>
          </w:p>
        </w:tc>
        <w:tc>
          <w:tcPr>
            <w:tcW w:type="dxa" w:w="11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Magnitude</w:t>
            </w:r>
          </w:p>
        </w:tc>
        <w:tc>
          <w:tcPr>
            <w:tcW w:type="dxa" w:w="184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Isolation device &amp; location</w:t>
            </w:r>
          </w:p>
        </w:tc>
        <w:tc>
          <w:tcPr>
            <w:tcW w:type="dxa" w:w="115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Lock / device</w:t>
            </w:r>
          </w:p>
        </w:tc>
        <w:tc>
          <w:tcPr>
            <w:tcW w:type="dxa" w:w="165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Stored energy action</w:t>
            </w:r>
          </w:p>
        </w:tc>
        <w:tc>
          <w:tcPr>
            <w:tcW w:type="dxa" w:w="18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Verification</w:t>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E1</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E2</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E3</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E4</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E5</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E6</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bl>
    <w:p>
      <w:pPr>
        <w:pStyle w:val="Heading2"/>
        <w:spacing w:after="100" w:before="200"/>
      </w:pPr>
      <w:r>
        <w:rPr>
          <w:b/>
          <w:bCs/>
          <w:color w:val="C2410C"/>
          <w:sz w:val="25"/>
          <w:szCs w:val="25"/>
        </w:rPr>
        <w:t xml:space="preserve">Authorised and affected employees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Authorised employees (trained to lock out)</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Affected employees (must be notified)</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bl>
    <w:p>
      <w:pPr>
        <w:pStyle w:val="Heading2"/>
        <w:spacing w:after="100" w:before="200"/>
      </w:pPr>
      <w:r>
        <w:rPr>
          <w:b/>
          <w:bCs/>
          <w:color w:val="C2410C"/>
          <w:sz w:val="25"/>
          <w:szCs w:val="25"/>
        </w:rPr>
        <w:t xml:space="preserve">Sequence of lockout</w:t>
      </w:r>
    </w:p>
    <w:p>
      <w:pPr>
        <w:pStyle w:val="ListParagraph"/>
        <w:numPr>
          <w:ilvl w:val="0"/>
          <w:numId w:val="4"/>
        </w:numPr>
        <w:spacing w:after="80"/>
      </w:pPr>
      <w:r>
        <w:rPr>
          <w:sz w:val="21"/>
          <w:szCs w:val="21"/>
        </w:rPr>
        <w:t xml:space="preserve">Notify affected employees that the equipment will be shut down and locked out, and why.</w:t>
      </w:r>
    </w:p>
    <w:p>
      <w:pPr>
        <w:pStyle w:val="ListParagraph"/>
        <w:numPr>
          <w:ilvl w:val="0"/>
          <w:numId w:val="4"/>
        </w:numPr>
        <w:spacing w:after="80"/>
      </w:pPr>
      <w:r>
        <w:rPr>
          <w:sz w:val="21"/>
          <w:szCs w:val="21"/>
        </w:rPr>
        <w:t xml:space="preserve">Shut the equipment down by the normal stopping procedure: __________________.</w:t>
      </w:r>
    </w:p>
    <w:p>
      <w:pPr>
        <w:pStyle w:val="ListParagraph"/>
        <w:numPr>
          <w:ilvl w:val="0"/>
          <w:numId w:val="4"/>
        </w:numPr>
        <w:spacing w:after="80"/>
      </w:pPr>
      <w:r>
        <w:rPr>
          <w:sz w:val="21"/>
          <w:szCs w:val="21"/>
        </w:rPr>
        <w:t xml:space="preserve">Operate each energy isolating device listed above (E1–E6) so the equipment is isolated.</w:t>
      </w:r>
    </w:p>
    <w:p>
      <w:pPr>
        <w:pStyle w:val="ListParagraph"/>
        <w:numPr>
          <w:ilvl w:val="0"/>
          <w:numId w:val="4"/>
        </w:numPr>
        <w:spacing w:after="80"/>
      </w:pPr>
      <w:r>
        <w:rPr>
          <w:sz w:val="21"/>
          <w:szCs w:val="21"/>
        </w:rPr>
        <w:t xml:space="preserve">Apply a personal lock and tag to each isolating device. Each person working applies their own lock.</w:t>
      </w:r>
    </w:p>
    <w:p>
      <w:pPr>
        <w:pStyle w:val="ListParagraph"/>
        <w:numPr>
          <w:ilvl w:val="0"/>
          <w:numId w:val="4"/>
        </w:numPr>
        <w:spacing w:after="80"/>
      </w:pPr>
      <w:r>
        <w:rPr>
          <w:sz w:val="21"/>
          <w:szCs w:val="21"/>
        </w:rPr>
        <w:t xml:space="preserve">Release, restrain or dissipate stored energy as listed (bleed air, block raised parts, discharge capacitors, allow to cool).</w:t>
      </w:r>
    </w:p>
    <w:p>
      <w:pPr>
        <w:pStyle w:val="ListParagraph"/>
        <w:numPr>
          <w:ilvl w:val="0"/>
          <w:numId w:val="4"/>
        </w:numPr>
        <w:spacing w:after="80"/>
      </w:pPr>
      <w:r>
        <w:rPr>
          <w:sz w:val="21"/>
          <w:szCs w:val="21"/>
        </w:rPr>
        <w:t xml:space="preserve">Verify isolation: confirm no personnel are exposed, then try the normal start controls; test for absence of voltage with a proven tester; check gauges read zero. Return controls to OFF/neutral.</w:t>
      </w:r>
    </w:p>
    <w:p>
      <w:pPr>
        <w:pStyle w:val="ListParagraph"/>
        <w:numPr>
          <w:ilvl w:val="0"/>
          <w:numId w:val="4"/>
        </w:numPr>
        <w:spacing w:after="80"/>
      </w:pPr>
      <w:r>
        <w:rPr>
          <w:sz w:val="21"/>
          <w:szCs w:val="21"/>
        </w:rPr>
        <w:t xml:space="preserve">The equipment is now locked out.</w:t>
      </w:r>
    </w:p>
    <w:p>
      <w:pPr>
        <w:pStyle w:val="Heading2"/>
        <w:spacing w:after="100" w:before="200"/>
      </w:pPr>
      <w:r>
        <w:rPr>
          <w:b/>
          <w:bCs/>
          <w:color w:val="C2410C"/>
          <w:sz w:val="25"/>
          <w:szCs w:val="25"/>
        </w:rPr>
        <w:t xml:space="preserve">Restoring equipment to service</w:t>
      </w:r>
    </w:p>
    <w:p>
      <w:pPr>
        <w:pStyle w:val="ListParagraph"/>
        <w:numPr>
          <w:ilvl w:val="0"/>
          <w:numId w:val="5"/>
        </w:numPr>
        <w:spacing w:after="80"/>
      </w:pPr>
      <w:r>
        <w:rPr>
          <w:sz w:val="21"/>
          <w:szCs w:val="21"/>
        </w:rPr>
        <w:t xml:space="preserve">Check the area: tools removed, guards reinstalled, equipment intact.</w:t>
      </w:r>
    </w:p>
    <w:p>
      <w:pPr>
        <w:pStyle w:val="ListParagraph"/>
        <w:numPr>
          <w:ilvl w:val="0"/>
          <w:numId w:val="5"/>
        </w:numPr>
        <w:spacing w:after="80"/>
      </w:pPr>
      <w:r>
        <w:rPr>
          <w:sz w:val="21"/>
          <w:szCs w:val="21"/>
        </w:rPr>
        <w:t xml:space="preserve">Ensure all employees are safely positioned or removed from the area.</w:t>
      </w:r>
    </w:p>
    <w:p>
      <w:pPr>
        <w:pStyle w:val="ListParagraph"/>
        <w:numPr>
          <w:ilvl w:val="0"/>
          <w:numId w:val="5"/>
        </w:numPr>
        <w:spacing w:after="80"/>
      </w:pPr>
      <w:r>
        <w:rPr>
          <w:sz w:val="21"/>
          <w:szCs w:val="21"/>
        </w:rPr>
        <w:t xml:space="preserve">Notify affected employees that locks are being removed.</w:t>
      </w:r>
    </w:p>
    <w:p>
      <w:pPr>
        <w:pStyle w:val="ListParagraph"/>
        <w:numPr>
          <w:ilvl w:val="0"/>
          <w:numId w:val="5"/>
        </w:numPr>
        <w:spacing w:after="80"/>
      </w:pPr>
      <w:r>
        <w:rPr>
          <w:sz w:val="21"/>
          <w:szCs w:val="21"/>
        </w:rPr>
        <w:t xml:space="preserve">Each person removes their own lock and tag. Re-energise in the order: __________________.</w:t>
      </w:r>
    </w:p>
    <w:p>
      <w:pPr>
        <w:pStyle w:val="Heading2"/>
        <w:spacing w:after="100" w:before="200"/>
      </w:pPr>
      <w:r>
        <w:rPr>
          <w:b/>
          <w:bCs/>
          <w:color w:val="C2410C"/>
          <w:sz w:val="25"/>
          <w:szCs w:val="25"/>
        </w:rPr>
        <w:t xml:space="preserve">Shift change, group lockout and lock removal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Shift change handover method</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Group lockout method (e.g. lock box)</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Removal of an absent person's lock (who authorises, how)</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
            </w:r>
          </w:p>
        </w:tc>
      </w:tr>
    </w:tbl>
    <w:p>
      <w:pPr>
        <w:pStyle w:val="Heading2"/>
        <w:spacing w:after="100" w:before="200"/>
      </w:pPr>
      <w:r>
        <w:rPr>
          <w:b/>
          <w:bCs/>
          <w:color w:val="C2410C"/>
          <w:sz w:val="25"/>
          <w:szCs w:val="25"/>
        </w:rPr>
        <w:t xml:space="preserve">Photos of isolation points</w:t>
      </w:r>
    </w:p>
    <w:p>
      <w:pPr>
        <w:spacing w:after="120"/>
      </w:pPr>
      <w:r>
        <w:rPr>
          <w:sz w:val="21"/>
          <w:szCs w:val="21"/>
        </w:rPr>
        <w:t xml:space="preserve">Insert a labelled photo of each isolation point (E1, E2, ...).</w:t>
      </w:r>
    </w:p>
    <w:p>
      <w:r>
        <w:br w:type="page"/>
      </w:r>
    </w:p>
    <w:p>
      <w:pPr>
        <w:pStyle w:val="Heading1"/>
        <w:spacing w:after="160" w:before="240"/>
      </w:pPr>
      <w:r>
        <w:rPr>
          <w:b/>
          <w:bCs/>
          <w:color w:val="1F2937"/>
          <w:sz w:val="32"/>
          <w:szCs w:val="32"/>
        </w:rPr>
        <w:t xml:space="preserve">Part 2 — Worked example</w:t>
      </w:r>
    </w:p>
    <w:p>
      <w:pPr>
        <w:spacing w:after="120"/>
        <w:rPr>
          <w:i/>
          <w:iCs/>
        </w:rPr>
      </w:pPr>
      <w:r>
        <w:rPr>
          <w:i/>
          <w:iCs/>
          <w:sz w:val="21"/>
          <w:szCs w:val="21"/>
        </w:rPr>
        <w:t xml:space="preserve">Example only. The values below illustrate the level of detail expected; they do not describe your machine.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Equipment name</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Belt Conveyor BC-04 (packing line)</w:t>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Equipment ID</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BC-04</w:t>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Location</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Packing hall, line 2, north side</w:t>
            </w:r>
          </w:p>
        </w:tc>
      </w:tr>
      <w:tr>
        <w:trPr>
          <w:trHeight w:val="400" w:hRule="atLeast"/>
        </w:trPr>
        <w:tc>
          <w:tcPr>
            <w:tcW w:type="dxa" w:w="2600"/>
            <w:tcBorders>
              <w:top w:val="single" w:color="9CA3AF" w:sz="4"/>
              <w:left w:val="single" w:color="9CA3AF" w:sz="4"/>
              <w:bottom w:val="single" w:color="9CA3AF" w:sz="4"/>
              <w:right w:val="single" w:color="9CA3AF" w:sz="4"/>
            </w:tcBorders>
            <w:shd w:fill="F3F4F6" w:color="auto" w:val="clear"/>
            <w:tcMar>
              <w:top w:type="dxa" w:w="60"/>
              <w:left w:type="dxa" w:w="100"/>
              <w:bottom w:type="dxa" w:w="60"/>
              <w:right w:type="dxa" w:w="100"/>
            </w:tcMar>
          </w:tcPr>
          <w:p>
            <w:r>
              <w:rPr>
                <w:b/>
                <w:bCs/>
                <w:sz w:val="19"/>
                <w:szCs w:val="19"/>
              </w:rPr>
              <w:t xml:space="preserve">Procedure no. / revision</w:t>
            </w:r>
          </w:p>
        </w:tc>
        <w:tc>
          <w:tcPr>
            <w:tcW w:type="dxa" w:w="67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sz w:val="19"/>
                <w:szCs w:val="19"/>
              </w:rPr>
              <w:t xml:space="preserve">LOTO-BC04 rev A</w:t>
            </w:r>
          </w:p>
        </w:tc>
      </w:tr>
    </w:tbl>
    <w:p>
      <w:pPr>
        <w:pStyle w:val="Heading2"/>
        <w:spacing w:after="100" w:before="200"/>
      </w:pPr>
      <w:r>
        <w:rPr>
          <w:b/>
          <w:bCs/>
          <w:color w:val="C2410C"/>
          <w:sz w:val="25"/>
          <w:szCs w:val="25"/>
        </w:rPr>
        <w:t xml:space="preserve">Energy 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1200"/>
        <w:gridCol w:w="1160"/>
        <w:gridCol w:w="1840"/>
        <w:gridCol w:w="1150"/>
        <w:gridCol w:w="1650"/>
        <w:gridCol w:w="1800"/>
      </w:tblGrid>
      <w:tr>
        <w:tc>
          <w:tcPr>
            <w:tcW w:type="dxa" w:w="5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w:t>
            </w:r>
          </w:p>
        </w:tc>
        <w:tc>
          <w:tcPr>
            <w:tcW w:type="dxa" w:w="12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Energy type</w:t>
            </w:r>
          </w:p>
        </w:tc>
        <w:tc>
          <w:tcPr>
            <w:tcW w:type="dxa" w:w="11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Magnitude</w:t>
            </w:r>
          </w:p>
        </w:tc>
        <w:tc>
          <w:tcPr>
            <w:tcW w:type="dxa" w:w="184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Isolation device &amp; location</w:t>
            </w:r>
          </w:p>
        </w:tc>
        <w:tc>
          <w:tcPr>
            <w:tcW w:type="dxa" w:w="115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Lock / device</w:t>
            </w:r>
          </w:p>
        </w:tc>
        <w:tc>
          <w:tcPr>
            <w:tcW w:type="dxa" w:w="165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Stored energy action</w:t>
            </w:r>
          </w:p>
        </w:tc>
        <w:tc>
          <w:tcPr>
            <w:tcW w:type="dxa" w:w="18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Verification</w:t>
            </w:r>
          </w:p>
        </w:tc>
      </w:tr>
      <w:t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E1</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Electrical — drive motor via VFD</w:t>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480 VAC 3-ph, 7.5 kW</w:t>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Disconnect DS-04 on panel MCC-2, bay 3</w:t>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Padlock on handle</w:t>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Wait 5 min for VFD DC bus to discharge (see drive label)</w:t>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Try start at local station; test for absence of voltage at VFD output terminals</w:t>
            </w:r>
          </w:p>
        </w:tc>
      </w:tr>
      <w:t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E2</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Electrical — control circuit</w:t>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24 VDC from panel PSU</w:t>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Isolated by DS-04 (same PSU)</w:t>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Covered by E1</w:t>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None</w:t>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Confirm HMI and control lamps dead</w:t>
            </w:r>
          </w:p>
        </w:tc>
      </w:tr>
      <w:t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E3</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Pneumatic — diverter gate cylinder</w:t>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90 psi (6 bar)</w:t>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Lockable dump valve LV-04 at FRL, conveyor frame</w:t>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Valve lockout on LV-04</w:t>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Dump valve exhausts system; cycle gate manually to vent trapped air</w:t>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Pressure gauge at FRL reads 0; gate moves freely by hand</w:t>
            </w:r>
          </w:p>
        </w:tc>
      </w:tr>
      <w:t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E4</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Gravity — take-up counterweight</w:t>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~45 kg</w:t>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Mechanical pin at take-up frame</w:t>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Pin + tag</w:t>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Lower weight to rest or pin in raised position</w:t>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Weight cannot move; belt slack</w:t>
            </w:r>
          </w:p>
        </w:tc>
      </w:tr>
      <w:tr>
        <w:tc>
          <w:tcPr>
            <w:tcW w:type="dxa" w:w="5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E5</w:t>
            </w:r>
          </w:p>
        </w:tc>
        <w:tc>
          <w:tcPr>
            <w:tcW w:type="dxa" w:w="1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Mechanical — belt tension / roll inertia</w:t>
            </w:r>
          </w:p>
        </w:tc>
        <w:tc>
          <w:tcPr>
            <w:tcW w:type="dxa" w:w="1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Stored in belt</w:t>
            </w:r>
          </w:p>
        </w:tc>
        <w:tc>
          <w:tcPr>
            <w:tcW w:type="dxa" w:w="184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N/A</w:t>
            </w:r>
          </w:p>
        </w:tc>
        <w:tc>
          <w:tcPr>
            <w:tcW w:type="dxa" w:w="11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N/A</w:t>
            </w:r>
          </w:p>
        </w:tc>
        <w:tc>
          <w:tcPr>
            <w:tcW w:type="dxa" w:w="165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Allow belt to stop fully; relieve tension via take-up (E4)</w:t>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Belt stationary, no tension on pulleys</w:t>
            </w:r>
          </w:p>
        </w:tc>
      </w:tr>
    </w:tbl>
    <w:p>
      <w:pPr>
        <w:pStyle w:val="Heading2"/>
        <w:spacing w:after="100" w:before="200"/>
      </w:pPr>
      <w:r>
        <w:rPr>
          <w:b/>
          <w:bCs/>
          <w:color w:val="C2410C"/>
          <w:sz w:val="25"/>
          <w:szCs w:val="25"/>
        </w:rPr>
        <w:t xml:space="preserve">Specific steps</w:t>
      </w:r>
    </w:p>
    <w:p>
      <w:pPr>
        <w:pStyle w:val="ListParagraph"/>
        <w:numPr>
          <w:ilvl w:val="0"/>
          <w:numId w:val="6"/>
        </w:numPr>
        <w:spacing w:after="80"/>
      </w:pPr>
      <w:r>
        <w:rPr>
          <w:sz w:val="21"/>
          <w:szCs w:val="21"/>
        </w:rPr>
        <w:t xml:space="preserve">Tell line 2 operators and the shift supervisor that BC-04 is being locked out.</w:t>
      </w:r>
    </w:p>
    <w:p>
      <w:pPr>
        <w:pStyle w:val="ListParagraph"/>
        <w:numPr>
          <w:ilvl w:val="0"/>
          <w:numId w:val="6"/>
        </w:numPr>
        <w:spacing w:after="80"/>
      </w:pPr>
      <w:r>
        <w:rPr>
          <w:sz w:val="21"/>
          <w:szCs w:val="21"/>
        </w:rPr>
        <w:t xml:space="preserve">Stop BC-04 with the line STOP button on HMI-2; wait for the belt to come to rest.</w:t>
      </w:r>
    </w:p>
    <w:p>
      <w:pPr>
        <w:pStyle w:val="ListParagraph"/>
        <w:numPr>
          <w:ilvl w:val="0"/>
          <w:numId w:val="6"/>
        </w:numPr>
        <w:spacing w:after="80"/>
      </w:pPr>
      <w:r>
        <w:rPr>
          <w:sz w:val="21"/>
          <w:szCs w:val="21"/>
        </w:rPr>
        <w:t xml:space="preserve">Open disconnect DS-04 (MCC-2, bay 3). Apply personal padlock and tag.</w:t>
      </w:r>
    </w:p>
    <w:p>
      <w:pPr>
        <w:pStyle w:val="ListParagraph"/>
        <w:numPr>
          <w:ilvl w:val="0"/>
          <w:numId w:val="6"/>
        </w:numPr>
        <w:spacing w:after="80"/>
      </w:pPr>
      <w:r>
        <w:rPr>
          <w:sz w:val="21"/>
          <w:szCs w:val="21"/>
        </w:rPr>
        <w:t xml:space="preserve">Close and lock dump valve LV-04. Cycle the diverter gate by hand to exhaust trapped air.</w:t>
      </w:r>
    </w:p>
    <w:p>
      <w:pPr>
        <w:pStyle w:val="ListParagraph"/>
        <w:numPr>
          <w:ilvl w:val="0"/>
          <w:numId w:val="6"/>
        </w:numPr>
        <w:spacing w:after="80"/>
      </w:pPr>
      <w:r>
        <w:rPr>
          <w:sz w:val="21"/>
          <w:szCs w:val="21"/>
        </w:rPr>
        <w:t xml:space="preserve">Insert the take-up pin and tag it, or lower the counterweight to rest.</w:t>
      </w:r>
    </w:p>
    <w:p>
      <w:pPr>
        <w:pStyle w:val="ListParagraph"/>
        <w:numPr>
          <w:ilvl w:val="0"/>
          <w:numId w:val="6"/>
        </w:numPr>
        <w:spacing w:after="80"/>
      </w:pPr>
      <w:r>
        <w:rPr>
          <w:sz w:val="21"/>
          <w:szCs w:val="21"/>
        </w:rPr>
        <w:t xml:space="preserve">Wait at least 5 minutes for the VFD DC bus to discharge.</w:t>
      </w:r>
    </w:p>
    <w:p>
      <w:pPr>
        <w:pStyle w:val="ListParagraph"/>
        <w:numPr>
          <w:ilvl w:val="0"/>
          <w:numId w:val="6"/>
        </w:numPr>
        <w:spacing w:after="80"/>
      </w:pPr>
      <w:r>
        <w:rPr>
          <w:sz w:val="21"/>
          <w:szCs w:val="21"/>
        </w:rPr>
        <w:t xml:space="preserve">Verify: press START on the local station (nothing happens); test for absence of voltage at VFD output with a proven tester (prove–test–prove); FRL gauge reads 0; return START to OFF.</w:t>
      </w:r>
    </w:p>
    <w:p>
      <w:r>
        <w:br w:type="page"/>
      </w:r>
    </w:p>
    <w:p>
      <w:pPr>
        <w:pStyle w:val="Heading1"/>
        <w:spacing w:after="160" w:before="240"/>
      </w:pPr>
      <w:r>
        <w:rPr>
          <w:b/>
          <w:bCs/>
          <w:color w:val="1F2937"/>
          <w:sz w:val="32"/>
          <w:szCs w:val="32"/>
        </w:rPr>
        <w:t xml:space="preserve">Part 3 — Energy-source checklist</w:t>
      </w:r>
    </w:p>
    <w:p>
      <w:pPr>
        <w:spacing w:after="120"/>
      </w:pPr>
      <w:r>
        <w:rPr>
          <w:sz w:val="21"/>
          <w:szCs w:val="21"/>
        </w:rPr>
        <w:t xml:space="preserve">Walk the machine and tick each source present. Anything ticked belongs in the procedure's energy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160"/>
        <w:gridCol w:w="2000"/>
      </w:tblGrid>
      <w:tr>
        <w:tc>
          <w:tcPr>
            <w:tcW w:type="dxa" w:w="22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Energy type</w:t>
            </w:r>
          </w:p>
        </w:tc>
        <w:tc>
          <w:tcPr>
            <w:tcW w:type="dxa" w:w="51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Questions to ask</w:t>
            </w:r>
          </w:p>
        </w:tc>
        <w:tc>
          <w:tcPr>
            <w:tcW w:type="dxa" w:w="20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Present? / notes</w:t>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Electrical (power)</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Main supply? More than one supply? Separate heater, lighting or socket circuits? Supplies fed from another machine?</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Electrical (control / stored)</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Separate control supply, UPS, batteries? VFD or servo DC bus capacitors? Power-factor capacitors?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Pneumatic</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Main air supply? Accumulators or receivers on the machine? Cylinders that hold air when valves close? Vacuum?</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Hydraulic</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Pump isolation? Accumulators? Cylinders holding load? Trapped pressure between valves?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Gravity</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Raised parts, platens, counterweights, rams that could fall? Need blocks or pins?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Mechanical / kinetic</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Flywheels, springs, belts under tension, coasting rolls?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Thermal</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Hot surfaces, heaters, hot fluids, cryogenics?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Chemical / process</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Pipes carrying product, steam, gas or chemicals into the work area?</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c>
          <w:tcPr>
            <w:tcW w:type="dxa" w:w="22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Other</w:t>
            </w:r>
          </w:p>
        </w:tc>
        <w:tc>
          <w:tcPr>
            <w:tcW w:type="dxa" w:w="51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Radiation, lasers, water, remote or automatic starts (timers, PLC sequences, other machines)?</w:t>
            </w:r>
          </w:p>
        </w:tc>
        <w:tc>
          <w:tcPr>
            <w:tcW w:type="dxa" w:w="20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bl>
    <w:p>
      <w:r>
        <w:br w:type="page"/>
      </w:r>
    </w:p>
    <w:p>
      <w:pPr>
        <w:pStyle w:val="Heading1"/>
        <w:spacing w:after="160" w:before="240"/>
      </w:pPr>
      <w:r>
        <w:rPr>
          <w:b/>
          <w:bCs/>
          <w:color w:val="1F2937"/>
          <w:sz w:val="32"/>
          <w:szCs w:val="32"/>
        </w:rPr>
        <w:t xml:space="preserve">Part 4 — Periodic inspection record</w:t>
      </w:r>
    </w:p>
    <w:p>
      <w:pPr>
        <w:spacing w:after="120"/>
      </w:pPr>
      <w:r>
        <w:rPr>
          <w:sz w:val="21"/>
          <w:szCs w:val="21"/>
        </w:rPr>
        <w:t xml:space="preserve">OSHA 1910.147(c)(6) requires a periodic inspection of each energy control procedure at least annually, by an authorised employee other than those using the procedure, with a certification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800"/>
        <w:gridCol w:w="1900"/>
        <w:gridCol w:w="2860"/>
      </w:tblGrid>
      <w:tr>
        <w:tc>
          <w:tcPr>
            <w:tcW w:type="dxa" w:w="13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Date</w:t>
            </w:r>
          </w:p>
        </w:tc>
        <w:tc>
          <w:tcPr>
            <w:tcW w:type="dxa" w:w="15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Procedure no.</w:t>
            </w:r>
          </w:p>
        </w:tc>
        <w:tc>
          <w:tcPr>
            <w:tcW w:type="dxa" w:w="18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Inspector</w:t>
            </w:r>
          </w:p>
        </w:tc>
        <w:tc>
          <w:tcPr>
            <w:tcW w:type="dxa" w:w="190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Employees observed</w:t>
            </w:r>
          </w:p>
        </w:tc>
        <w:tc>
          <w:tcPr>
            <w:tcW w:type="dxa" w:w="2860"/>
            <w:tcBorders>
              <w:top w:val="single" w:color="9CA3AF" w:sz="4"/>
              <w:left w:val="single" w:color="9CA3AF" w:sz="4"/>
              <w:bottom w:val="single" w:color="9CA3AF" w:sz="4"/>
              <w:right w:val="single" w:color="9CA3AF" w:sz="4"/>
            </w:tcBorders>
            <w:shd w:fill="1F2937" w:color="auto" w:val="clear"/>
            <w:tcMar>
              <w:top w:type="dxa" w:w="60"/>
              <w:left w:type="dxa" w:w="100"/>
              <w:bottom w:type="dxa" w:w="60"/>
              <w:right w:type="dxa" w:w="100"/>
            </w:tcMar>
          </w:tcPr>
          <w:p>
            <w:r>
              <w:rPr>
                <w:b/>
                <w:bCs/>
                <w:color w:val="FFFFFF"/>
                <w:sz w:val="19"/>
                <w:szCs w:val="19"/>
              </w:rPr>
              <w:t xml:space="preserve">Deviations found / corrective action</w:t>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r>
        <w:trPr>
          <w:trHeight w:val="520" w:hRule="atLeast"/>
        </w:trPr>
        <w:tc>
          <w:tcPr>
            <w:tcW w:type="dxa" w:w="13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5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8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190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c>
          <w:tcPr>
            <w:tcW w:type="dxa" w:w="2860"/>
            <w:tcBorders>
              <w:top w:val="single" w:color="9CA3AF" w:sz="4"/>
              <w:left w:val="single" w:color="9CA3AF" w:sz="4"/>
              <w:bottom w:val="single" w:color="9CA3AF" w:sz="4"/>
              <w:right w:val="single" w:color="9CA3AF" w:sz="4"/>
            </w:tcBorders>
            <w:tcMar>
              <w:top w:type="dxa" w:w="60"/>
              <w:left w:type="dxa" w:w="100"/>
              <w:bottom w:type="dxa" w:w="60"/>
              <w:right w:type="dxa" w:w="100"/>
            </w:tcMar>
          </w:tcPr>
          <w:p>
            <w:r>
              <w:rPr>
                <w:b w:val="false"/>
                <w:bCs w:val="false"/>
                <w:sz w:val="19"/>
                <w:szCs w:val="19"/>
              </w:rPr>
              <w:t xml:space="preserve"/>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LOTO Procedure Pack — verify on the machine before use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2026-09-22T22:56:06.909Z</dcterms:created>
  <dcterms:modified xsi:type="dcterms:W3CDTF">2026-09-22T22:56:06.909Z</dcterms:modified>
</cp:coreProperties>
</file>

<file path=docProps/custom.xml><?xml version="1.0" encoding="utf-8"?>
<Properties xmlns="http://schemas.openxmlformats.org/officeDocument/2006/custom-properties" xmlns:vt="http://schemas.openxmlformats.org/officeDocument/2006/docPropsVTypes"/>
</file>